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des plats témoins</w:t>
      </w:r>
    </w:p>
    <w:p>
      <w:pPr>
        <w:spacing w:after="160"/>
      </w:pPr>
      <w:r>
        <w:t>Tableau d’enregistrement des plats témoins lorsque cette pratique s’applique à l’organisation de restauration.</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La méthode, les quantités et la durée de conservation doivent être définies selon les règles applicables et le PMS de l’établissement. Ce registre trace l’opération sans se substituer au PMS.</w:t>
            </w:r>
          </w:p>
        </w:tc>
      </w:tr>
    </w:tbl>
    <w:p/>
    <w:p>
      <w:pPr>
        <w:pStyle w:val="Heading1"/>
      </w:pPr>
      <w:r>
        <w:t>Utilisation</w:t>
      </w:r>
    </w:p>
    <w:p>
      <w:pPr>
        <w:spacing w:after="100"/>
      </w:pPr>
      <w:r>
        <w:t>À adapter au fonctionnement de l’accueil et aux consignes de l’organisateur.</w:t>
      </w:r>
    </w:p>
    <w:p>
      <w:pPr>
        <w:pStyle w:val="Heading1"/>
      </w:pPr>
      <w:r>
        <w:t>Enregistrements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 du repas</w:t>
            </w:r>
          </w:p>
        </w:tc>
        <w:tc>
          <w:tcPr>
            <w:tcW w:type="dxa" w:w="1310"/>
            <w:shd w:fill="EAF2F7"/>
            <w:tcMar>
              <w:top w:w="65" w:type="dxa"/>
              <w:start w:w="55" w:type="dxa"/>
              <w:bottom w:w="65" w:type="dxa"/>
              <w:end w:w="55" w:type="dxa"/>
            </w:tcMar>
          </w:tcPr>
          <w:p>
            <w:r>
              <w:rPr>
                <w:b/>
                <w:color w:val="234A60"/>
                <w:sz w:val="14"/>
              </w:rPr>
              <w:t>Service</w:t>
            </w:r>
          </w:p>
        </w:tc>
        <w:tc>
          <w:tcPr>
            <w:tcW w:type="dxa" w:w="1310"/>
            <w:shd w:fill="EAF2F7"/>
            <w:tcMar>
              <w:top w:w="65" w:type="dxa"/>
              <w:start w:w="55" w:type="dxa"/>
              <w:bottom w:w="65" w:type="dxa"/>
              <w:end w:w="55" w:type="dxa"/>
            </w:tcMar>
          </w:tcPr>
          <w:p>
            <w:r>
              <w:rPr>
                <w:b/>
                <w:color w:val="234A60"/>
                <w:sz w:val="14"/>
              </w:rPr>
              <w:t>Préparation concernée</w:t>
            </w:r>
          </w:p>
        </w:tc>
        <w:tc>
          <w:tcPr>
            <w:tcW w:type="dxa" w:w="1310"/>
            <w:shd w:fill="EAF2F7"/>
            <w:tcMar>
              <w:top w:w="65" w:type="dxa"/>
              <w:start w:w="55" w:type="dxa"/>
              <w:bottom w:w="65" w:type="dxa"/>
              <w:end w:w="55" w:type="dxa"/>
            </w:tcMar>
          </w:tcPr>
          <w:p>
            <w:r>
              <w:rPr>
                <w:b/>
                <w:color w:val="234A60"/>
                <w:sz w:val="14"/>
              </w:rPr>
              <w:t>Heure prélèvement</w:t>
            </w:r>
          </w:p>
        </w:tc>
        <w:tc>
          <w:tcPr>
            <w:tcW w:type="dxa" w:w="1310"/>
            <w:shd w:fill="EAF2F7"/>
            <w:tcMar>
              <w:top w:w="65" w:type="dxa"/>
              <w:start w:w="55" w:type="dxa"/>
              <w:bottom w:w="65" w:type="dxa"/>
              <w:end w:w="55" w:type="dxa"/>
            </w:tcMar>
          </w:tcPr>
          <w:p>
            <w:r>
              <w:rPr>
                <w:b/>
                <w:color w:val="234A60"/>
                <w:sz w:val="14"/>
              </w:rPr>
              <w:t>Identifiant échantillon</w:t>
            </w:r>
          </w:p>
        </w:tc>
        <w:tc>
          <w:tcPr>
            <w:tcW w:type="dxa" w:w="1310"/>
            <w:shd w:fill="EAF2F7"/>
            <w:tcMar>
              <w:top w:w="65" w:type="dxa"/>
              <w:start w:w="55" w:type="dxa"/>
              <w:bottom w:w="65" w:type="dxa"/>
              <w:end w:w="55" w:type="dxa"/>
            </w:tcMar>
          </w:tcPr>
          <w:p>
            <w:r>
              <w:rPr>
                <w:b/>
                <w:color w:val="234A60"/>
                <w:sz w:val="14"/>
              </w:rPr>
              <w:t>Lieu / température de conservation</w:t>
            </w:r>
          </w:p>
        </w:tc>
        <w:tc>
          <w:tcPr>
            <w:tcW w:type="dxa" w:w="1310"/>
            <w:shd w:fill="EAF2F7"/>
            <w:tcMar>
              <w:top w:w="65" w:type="dxa"/>
              <w:start w:w="55" w:type="dxa"/>
              <w:bottom w:w="65" w:type="dxa"/>
              <w:end w:w="55" w:type="dxa"/>
            </w:tcMar>
          </w:tcPr>
          <w:p>
            <w:r>
              <w:rPr>
                <w:b/>
                <w:color w:val="234A60"/>
                <w:sz w:val="14"/>
              </w:rPr>
              <w:t>Date / heure destruction</w:t>
            </w:r>
          </w:p>
        </w:tc>
        <w:tc>
          <w:tcPr>
            <w:tcW w:type="dxa" w:w="1310"/>
            <w:shd w:fill="EAF2F7"/>
            <w:tcMar>
              <w:top w:w="65" w:type="dxa"/>
              <w:start w:w="55" w:type="dxa"/>
              <w:bottom w:w="65" w:type="dxa"/>
              <w:end w:w="55" w:type="dxa"/>
            </w:tcMar>
          </w:tcPr>
          <w:p>
            <w:r>
              <w:rPr>
                <w:b/>
                <w:color w:val="234A60"/>
                <w:sz w:val="14"/>
              </w:rPr>
              <w:t>Initiales</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La méthode, les quantités et la durée de conservation doivent être définies selon les règles applicables et le PMS de l’établissement. Ce registre trace l’opération sans se substituer au PMS.</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AJ-ACM-041 - version 1.0 - vérifié le 28/08/2026 - animyjob.com/documents-acm/registre-plats-temoins-acm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