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Feuille de pointage du groupe en déplacement</w:t>
      </w:r>
    </w:p>
    <w:p>
      <w:pPr>
        <w:spacing w:after="160"/>
      </w:pPr>
      <w:r>
        <w:t>Pointage rapide des mineurs à chaque étape d’un déplacement.</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Cette feuille ne remplace pas la liste nominative réglementaire des passagers d’un autocar lorsque l’article 60 ter de l’arrêté du 2 juillet 1982 s’applique.</w:t>
            </w:r>
          </w:p>
        </w:tc>
      </w:tr>
    </w:tbl>
    <w:p/>
    <w:p>
      <w:pPr>
        <w:pStyle w:val="Heading1"/>
      </w:pPr>
      <w:r>
        <w:t>Utilisation</w:t>
      </w:r>
    </w:p>
    <w:p>
      <w:pPr>
        <w:spacing w:after="100"/>
      </w:pPr>
      <w:r>
        <w:t>À adapter au fonctionnement de l’accueil et aux consignes de l’organisateur.</w:t>
      </w:r>
    </w:p>
    <w:p>
      <w:pPr>
        <w:pStyle w:val="Heading1"/>
      </w:pPr>
      <w:r>
        <w:t>Pointage</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1310"/>
        <w:gridCol w:w="1310"/>
        <w:gridCol w:w="1310"/>
        <w:gridCol w:w="1310"/>
        <w:gridCol w:w="1310"/>
        <w:gridCol w:w="1310"/>
        <w:gridCol w:w="1310"/>
        <w:gridCol w:w="1310"/>
      </w:tblGrid>
      <w:tr>
        <w:tc>
          <w:tcPr>
            <w:tcW w:type="dxa" w:w="1310"/>
            <w:shd w:fill="EAF2F7"/>
            <w:tcMar>
              <w:top w:w="65" w:type="dxa"/>
              <w:start w:w="55" w:type="dxa"/>
              <w:bottom w:w="65" w:type="dxa"/>
              <w:end w:w="55" w:type="dxa"/>
            </w:tcMar>
          </w:tcPr>
          <w:p>
            <w:r>
              <w:rPr>
                <w:b/>
                <w:color w:val="234A60"/>
                <w:sz w:val="14"/>
              </w:rPr>
              <w:t>Nom / prénom</w:t>
            </w:r>
          </w:p>
        </w:tc>
        <w:tc>
          <w:tcPr>
            <w:tcW w:type="dxa" w:w="1310"/>
            <w:shd w:fill="EAF2F7"/>
            <w:tcMar>
              <w:top w:w="65" w:type="dxa"/>
              <w:start w:w="55" w:type="dxa"/>
              <w:bottom w:w="65" w:type="dxa"/>
              <w:end w:w="55" w:type="dxa"/>
            </w:tcMar>
          </w:tcPr>
          <w:p>
            <w:r>
              <w:rPr>
                <w:b/>
                <w:color w:val="234A60"/>
                <w:sz w:val="14"/>
              </w:rPr>
              <w:t>Départ structure</w:t>
            </w:r>
          </w:p>
        </w:tc>
        <w:tc>
          <w:tcPr>
            <w:tcW w:type="dxa" w:w="1310"/>
            <w:shd w:fill="EAF2F7"/>
            <w:tcMar>
              <w:top w:w="65" w:type="dxa"/>
              <w:start w:w="55" w:type="dxa"/>
              <w:bottom w:w="65" w:type="dxa"/>
              <w:end w:w="55" w:type="dxa"/>
            </w:tcMar>
          </w:tcPr>
          <w:p>
            <w:r>
              <w:rPr>
                <w:b/>
                <w:color w:val="234A60"/>
                <w:sz w:val="14"/>
              </w:rPr>
              <w:t>Montée transport</w:t>
            </w:r>
          </w:p>
        </w:tc>
        <w:tc>
          <w:tcPr>
            <w:tcW w:type="dxa" w:w="1310"/>
            <w:shd w:fill="EAF2F7"/>
            <w:tcMar>
              <w:top w:w="65" w:type="dxa"/>
              <w:start w:w="55" w:type="dxa"/>
              <w:bottom w:w="65" w:type="dxa"/>
              <w:end w:w="55" w:type="dxa"/>
            </w:tcMar>
          </w:tcPr>
          <w:p>
            <w:r>
              <w:rPr>
                <w:b/>
                <w:color w:val="234A60"/>
                <w:sz w:val="14"/>
              </w:rPr>
              <w:t>Arrivée lieu</w:t>
            </w:r>
          </w:p>
        </w:tc>
        <w:tc>
          <w:tcPr>
            <w:tcW w:type="dxa" w:w="1310"/>
            <w:shd w:fill="EAF2F7"/>
            <w:tcMar>
              <w:top w:w="65" w:type="dxa"/>
              <w:start w:w="55" w:type="dxa"/>
              <w:bottom w:w="65" w:type="dxa"/>
              <w:end w:w="55" w:type="dxa"/>
            </w:tcMar>
          </w:tcPr>
          <w:p>
            <w:r>
              <w:rPr>
                <w:b/>
                <w:color w:val="234A60"/>
                <w:sz w:val="14"/>
              </w:rPr>
              <w:t>Départ lieu</w:t>
            </w:r>
          </w:p>
        </w:tc>
        <w:tc>
          <w:tcPr>
            <w:tcW w:type="dxa" w:w="1310"/>
            <w:shd w:fill="EAF2F7"/>
            <w:tcMar>
              <w:top w:w="65" w:type="dxa"/>
              <w:start w:w="55" w:type="dxa"/>
              <w:bottom w:w="65" w:type="dxa"/>
              <w:end w:w="55" w:type="dxa"/>
            </w:tcMar>
          </w:tcPr>
          <w:p>
            <w:r>
              <w:rPr>
                <w:b/>
                <w:color w:val="234A60"/>
                <w:sz w:val="14"/>
              </w:rPr>
              <w:t>Retour transport</w:t>
            </w:r>
          </w:p>
        </w:tc>
        <w:tc>
          <w:tcPr>
            <w:tcW w:type="dxa" w:w="1310"/>
            <w:shd w:fill="EAF2F7"/>
            <w:tcMar>
              <w:top w:w="65" w:type="dxa"/>
              <w:start w:w="55" w:type="dxa"/>
              <w:bottom w:w="65" w:type="dxa"/>
              <w:end w:w="55" w:type="dxa"/>
            </w:tcMar>
          </w:tcPr>
          <w:p>
            <w:r>
              <w:rPr>
                <w:b/>
                <w:color w:val="234A60"/>
                <w:sz w:val="14"/>
              </w:rPr>
              <w:t>Retour structure</w:t>
            </w:r>
          </w:p>
        </w:tc>
        <w:tc>
          <w:tcPr>
            <w:tcW w:type="dxa" w:w="1310"/>
            <w:shd w:fill="EAF2F7"/>
            <w:tcMar>
              <w:top w:w="65" w:type="dxa"/>
              <w:start w:w="55" w:type="dxa"/>
              <w:bottom w:w="65" w:type="dxa"/>
              <w:end w:w="55" w:type="dxa"/>
            </w:tcMar>
          </w:tcPr>
          <w:p>
            <w:r>
              <w:rPr>
                <w:b/>
                <w:color w:val="234A60"/>
                <w:sz w:val="14"/>
              </w:rPr>
              <w:t>Observation</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bl>
    <w:p>
      <w:pPr>
        <w:pStyle w:val="Heading1"/>
      </w:pPr>
      <w:r>
        <w:t>Points de vigilance</w:t>
      </w:r>
    </w:p>
    <w:p>
      <w:r>
        <w:t>Cette feuille ne remplace pas la liste nominative réglementaire des passagers d’un autocar lorsque l’article 60 ter de l’arrêté du 2 juillet 1982 s’applique.</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AJ-ACM-017 - version 2.0 - vérifié le 28/08/2026 - animyjob.com/documents-acm/pointage-groupe-deplacement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