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Matrice des allergènes des repas</w:t>
      </w:r>
    </w:p>
    <w:p>
      <w:pPr>
        <w:spacing w:after="160"/>
      </w:pPr>
      <w:r>
        <w:t>Tableau pour centraliser les allergènes déclarés dans les recettes ou produits servis.</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La matrice doit être alimentée à partir des informations fiables des fournisseurs, recettes et fiches techniques. Ne pas déduire un allergène sans vérification.</w:t>
            </w:r>
          </w:p>
        </w:tc>
      </w:tr>
    </w:tbl>
    <w:p/>
    <w:p>
      <w:pPr>
        <w:pStyle w:val="Heading1"/>
      </w:pPr>
      <w:r>
        <w:t>Utilisation</w:t>
      </w:r>
    </w:p>
    <w:p>
      <w:pPr>
        <w:spacing w:after="100"/>
      </w:pPr>
      <w:r>
        <w:t>À adapter au fonctionnement de l’accueil et aux consignes de l’organisateur.</w:t>
      </w:r>
    </w:p>
    <w:p>
      <w:pPr>
        <w:pStyle w:val="Heading1"/>
      </w:pPr>
      <w:r>
        <w:t>Matrice</w:t>
      </w:r>
    </w:p>
    <w:tbl>
      <w:tblPr>
        <w:tblW w:type="auto" w:w="0"/>
        <w:jc w:val="center"/>
        <w:tblLayout w:type="autofit"/>
        <w:tblLook w:firstColumn="1" w:firstRow="1" w:lastColumn="0" w:lastRow="0" w:noHBand="0" w:noVBand="1" w:val="04A0"/>
        <w:tblBorders>
          <w:top w:val="single" w:sz="4" w:color="B9C7D0"/>
          <w:left w:val="single" w:sz="4" w:color="B9C7D0"/>
          <w:bottom w:val="single" w:sz="4" w:color="B9C7D0"/>
          <w:right w:val="single" w:sz="4" w:color="B9C7D0"/>
          <w:insideH w:val="single" w:sz="4" w:color="B9C7D0"/>
          <w:insideV w:val="single" w:sz="4" w:color="B9C7D0"/>
        </w:tblBorders>
      </w:tblPr>
      <w:tblGrid>
        <w:gridCol w:w="655"/>
        <w:gridCol w:w="655"/>
        <w:gridCol w:w="655"/>
        <w:gridCol w:w="655"/>
        <w:gridCol w:w="655"/>
        <w:gridCol w:w="655"/>
        <w:gridCol w:w="655"/>
        <w:gridCol w:w="655"/>
        <w:gridCol w:w="655"/>
        <w:gridCol w:w="655"/>
        <w:gridCol w:w="655"/>
        <w:gridCol w:w="655"/>
        <w:gridCol w:w="655"/>
        <w:gridCol w:w="655"/>
        <w:gridCol w:w="655"/>
        <w:gridCol w:w="655"/>
      </w:tblGrid>
      <w:tr>
        <w:tc>
          <w:tcPr>
            <w:tcW w:type="dxa" w:w="655"/>
            <w:shd w:fill="EAF2F7"/>
            <w:tcMar>
              <w:top w:w="65" w:type="dxa"/>
              <w:start w:w="55" w:type="dxa"/>
              <w:bottom w:w="65" w:type="dxa"/>
              <w:end w:w="55" w:type="dxa"/>
            </w:tcMar>
          </w:tcPr>
          <w:p>
            <w:r>
              <w:rPr>
                <w:b/>
                <w:color w:val="234A60"/>
                <w:sz w:val="12"/>
              </w:rPr>
              <w:t>Plat / produit</w:t>
            </w:r>
          </w:p>
        </w:tc>
        <w:tc>
          <w:tcPr>
            <w:tcW w:type="dxa" w:w="655"/>
            <w:shd w:fill="EAF2F7"/>
            <w:tcMar>
              <w:top w:w="65" w:type="dxa"/>
              <w:start w:w="55" w:type="dxa"/>
              <w:bottom w:w="65" w:type="dxa"/>
              <w:end w:w="55" w:type="dxa"/>
            </w:tcMar>
          </w:tcPr>
          <w:p>
            <w:r>
              <w:rPr>
                <w:b/>
                <w:color w:val="234A60"/>
                <w:sz w:val="12"/>
              </w:rPr>
              <w:t>Céréales gluten</w:t>
            </w:r>
          </w:p>
        </w:tc>
        <w:tc>
          <w:tcPr>
            <w:tcW w:type="dxa" w:w="655"/>
            <w:shd w:fill="EAF2F7"/>
            <w:tcMar>
              <w:top w:w="65" w:type="dxa"/>
              <w:start w:w="55" w:type="dxa"/>
              <w:bottom w:w="65" w:type="dxa"/>
              <w:end w:w="55" w:type="dxa"/>
            </w:tcMar>
          </w:tcPr>
          <w:p>
            <w:r>
              <w:rPr>
                <w:b/>
                <w:color w:val="234A60"/>
                <w:sz w:val="12"/>
              </w:rPr>
              <w:t>Crustacés</w:t>
            </w:r>
          </w:p>
        </w:tc>
        <w:tc>
          <w:tcPr>
            <w:tcW w:type="dxa" w:w="655"/>
            <w:shd w:fill="EAF2F7"/>
            <w:tcMar>
              <w:top w:w="65" w:type="dxa"/>
              <w:start w:w="55" w:type="dxa"/>
              <w:bottom w:w="65" w:type="dxa"/>
              <w:end w:w="55" w:type="dxa"/>
            </w:tcMar>
          </w:tcPr>
          <w:p>
            <w:r>
              <w:rPr>
                <w:b/>
                <w:color w:val="234A60"/>
                <w:sz w:val="12"/>
              </w:rPr>
              <w:t>Œufs</w:t>
            </w:r>
          </w:p>
        </w:tc>
        <w:tc>
          <w:tcPr>
            <w:tcW w:type="dxa" w:w="655"/>
            <w:shd w:fill="EAF2F7"/>
            <w:tcMar>
              <w:top w:w="65" w:type="dxa"/>
              <w:start w:w="55" w:type="dxa"/>
              <w:bottom w:w="65" w:type="dxa"/>
              <w:end w:w="55" w:type="dxa"/>
            </w:tcMar>
          </w:tcPr>
          <w:p>
            <w:r>
              <w:rPr>
                <w:b/>
                <w:color w:val="234A60"/>
                <w:sz w:val="12"/>
              </w:rPr>
              <w:t>Poissons</w:t>
            </w:r>
          </w:p>
        </w:tc>
        <w:tc>
          <w:tcPr>
            <w:tcW w:type="dxa" w:w="655"/>
            <w:shd w:fill="EAF2F7"/>
            <w:tcMar>
              <w:top w:w="65" w:type="dxa"/>
              <w:start w:w="55" w:type="dxa"/>
              <w:bottom w:w="65" w:type="dxa"/>
              <w:end w:w="55" w:type="dxa"/>
            </w:tcMar>
          </w:tcPr>
          <w:p>
            <w:r>
              <w:rPr>
                <w:b/>
                <w:color w:val="234A60"/>
                <w:sz w:val="12"/>
              </w:rPr>
              <w:t>Arachides</w:t>
            </w:r>
          </w:p>
        </w:tc>
        <w:tc>
          <w:tcPr>
            <w:tcW w:type="dxa" w:w="655"/>
            <w:shd w:fill="EAF2F7"/>
            <w:tcMar>
              <w:top w:w="65" w:type="dxa"/>
              <w:start w:w="55" w:type="dxa"/>
              <w:bottom w:w="65" w:type="dxa"/>
              <w:end w:w="55" w:type="dxa"/>
            </w:tcMar>
          </w:tcPr>
          <w:p>
            <w:r>
              <w:rPr>
                <w:b/>
                <w:color w:val="234A60"/>
                <w:sz w:val="12"/>
              </w:rPr>
              <w:t>Soja</w:t>
            </w:r>
          </w:p>
        </w:tc>
        <w:tc>
          <w:tcPr>
            <w:tcW w:type="dxa" w:w="655"/>
            <w:shd w:fill="EAF2F7"/>
            <w:tcMar>
              <w:top w:w="65" w:type="dxa"/>
              <w:start w:w="55" w:type="dxa"/>
              <w:bottom w:w="65" w:type="dxa"/>
              <w:end w:w="55" w:type="dxa"/>
            </w:tcMar>
          </w:tcPr>
          <w:p>
            <w:r>
              <w:rPr>
                <w:b/>
                <w:color w:val="234A60"/>
                <w:sz w:val="12"/>
              </w:rPr>
              <w:t>Lait</w:t>
            </w:r>
          </w:p>
        </w:tc>
        <w:tc>
          <w:tcPr>
            <w:tcW w:type="dxa" w:w="655"/>
            <w:shd w:fill="EAF2F7"/>
            <w:tcMar>
              <w:top w:w="65" w:type="dxa"/>
              <w:start w:w="55" w:type="dxa"/>
              <w:bottom w:w="65" w:type="dxa"/>
              <w:end w:w="55" w:type="dxa"/>
            </w:tcMar>
          </w:tcPr>
          <w:p>
            <w:r>
              <w:rPr>
                <w:b/>
                <w:color w:val="234A60"/>
                <w:sz w:val="12"/>
              </w:rPr>
              <w:t>Fruits à coque</w:t>
            </w:r>
          </w:p>
        </w:tc>
        <w:tc>
          <w:tcPr>
            <w:tcW w:type="dxa" w:w="655"/>
            <w:shd w:fill="EAF2F7"/>
            <w:tcMar>
              <w:top w:w="65" w:type="dxa"/>
              <w:start w:w="55" w:type="dxa"/>
              <w:bottom w:w="65" w:type="dxa"/>
              <w:end w:w="55" w:type="dxa"/>
            </w:tcMar>
          </w:tcPr>
          <w:p>
            <w:r>
              <w:rPr>
                <w:b/>
                <w:color w:val="234A60"/>
                <w:sz w:val="12"/>
              </w:rPr>
              <w:t>Céleri</w:t>
            </w:r>
          </w:p>
        </w:tc>
        <w:tc>
          <w:tcPr>
            <w:tcW w:type="dxa" w:w="655"/>
            <w:shd w:fill="EAF2F7"/>
            <w:tcMar>
              <w:top w:w="65" w:type="dxa"/>
              <w:start w:w="55" w:type="dxa"/>
              <w:bottom w:w="65" w:type="dxa"/>
              <w:end w:w="55" w:type="dxa"/>
            </w:tcMar>
          </w:tcPr>
          <w:p>
            <w:r>
              <w:rPr>
                <w:b/>
                <w:color w:val="234A60"/>
                <w:sz w:val="12"/>
              </w:rPr>
              <w:t>Moutarde</w:t>
            </w:r>
          </w:p>
        </w:tc>
        <w:tc>
          <w:tcPr>
            <w:tcW w:type="dxa" w:w="655"/>
            <w:shd w:fill="EAF2F7"/>
            <w:tcMar>
              <w:top w:w="65" w:type="dxa"/>
              <w:start w:w="55" w:type="dxa"/>
              <w:bottom w:w="65" w:type="dxa"/>
              <w:end w:w="55" w:type="dxa"/>
            </w:tcMar>
          </w:tcPr>
          <w:p>
            <w:r>
              <w:rPr>
                <w:b/>
                <w:color w:val="234A60"/>
                <w:sz w:val="12"/>
              </w:rPr>
              <w:t>Sésame</w:t>
            </w:r>
          </w:p>
        </w:tc>
        <w:tc>
          <w:tcPr>
            <w:tcW w:type="dxa" w:w="655"/>
            <w:shd w:fill="EAF2F7"/>
            <w:tcMar>
              <w:top w:w="65" w:type="dxa"/>
              <w:start w:w="55" w:type="dxa"/>
              <w:bottom w:w="65" w:type="dxa"/>
              <w:end w:w="55" w:type="dxa"/>
            </w:tcMar>
          </w:tcPr>
          <w:p>
            <w:r>
              <w:rPr>
                <w:b/>
                <w:color w:val="234A60"/>
                <w:sz w:val="12"/>
              </w:rPr>
              <w:t>Sulfites</w:t>
            </w:r>
          </w:p>
        </w:tc>
        <w:tc>
          <w:tcPr>
            <w:tcW w:type="dxa" w:w="655"/>
            <w:shd w:fill="EAF2F7"/>
            <w:tcMar>
              <w:top w:w="65" w:type="dxa"/>
              <w:start w:w="55" w:type="dxa"/>
              <w:bottom w:w="65" w:type="dxa"/>
              <w:end w:w="55" w:type="dxa"/>
            </w:tcMar>
          </w:tcPr>
          <w:p>
            <w:r>
              <w:rPr>
                <w:b/>
                <w:color w:val="234A60"/>
                <w:sz w:val="12"/>
              </w:rPr>
              <w:t>Lupin</w:t>
            </w:r>
          </w:p>
        </w:tc>
        <w:tc>
          <w:tcPr>
            <w:tcW w:type="dxa" w:w="655"/>
            <w:shd w:fill="EAF2F7"/>
            <w:tcMar>
              <w:top w:w="65" w:type="dxa"/>
              <w:start w:w="55" w:type="dxa"/>
              <w:bottom w:w="65" w:type="dxa"/>
              <w:end w:w="55" w:type="dxa"/>
            </w:tcMar>
          </w:tcPr>
          <w:p>
            <w:r>
              <w:rPr>
                <w:b/>
                <w:color w:val="234A60"/>
                <w:sz w:val="12"/>
              </w:rPr>
              <w:t>Mollusques</w:t>
            </w:r>
          </w:p>
        </w:tc>
        <w:tc>
          <w:tcPr>
            <w:tcW w:type="dxa" w:w="655"/>
            <w:shd w:fill="EAF2F7"/>
            <w:tcMar>
              <w:top w:w="65" w:type="dxa"/>
              <w:start w:w="55" w:type="dxa"/>
              <w:bottom w:w="65" w:type="dxa"/>
              <w:end w:w="55" w:type="dxa"/>
            </w:tcMar>
          </w:tcPr>
          <w:p>
            <w:r>
              <w:rPr>
                <w:b/>
                <w:color w:val="234A60"/>
                <w:sz w:val="12"/>
              </w:rPr>
              <w:t>Source de l’information</w:t>
            </w:r>
          </w:p>
        </w:tc>
      </w:tr>
      <w:tr>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r>
      <w:tr>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r>
      <w:tr>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r>
      <w:tr>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r>
      <w:tr>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r>
      <w:tr>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r>
      <w:tr>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r>
      <w:tr>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r>
      <w:tr>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r>
      <w:tr>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c>
          <w:tcPr>
            <w:tcW w:type="dxa" w:w="655"/>
            <w:tcMar>
              <w:top w:w="95" w:type="dxa"/>
              <w:start w:w="45" w:type="dxa"/>
              <w:bottom w:w="95" w:type="dxa"/>
              <w:end w:w="45" w:type="dxa"/>
            </w:tcMar>
          </w:tcPr>
          <w:p>
            <w:r>
              <w:t xml:space="preserve"> </w:t>
            </w:r>
          </w:p>
        </w:tc>
      </w:tr>
    </w:tbl>
    <w:p>
      <w:pPr>
        <w:pStyle w:val="Heading1"/>
      </w:pPr>
      <w:r>
        <w:t>Points de vigilance</w:t>
      </w:r>
    </w:p>
    <w:p>
      <w:r>
        <w:t>La matrice doit être alimentée à partir des informations fiables des fournisseurs, recettes et fiches techniques. Ne pas déduire un allergène sans vérification.</w:t>
      </w:r>
    </w:p>
    <w:p>
      <w:pPr>
        <w:pStyle w:val="Heading1"/>
      </w:pPr>
      <w:r>
        <w:t>Sources de vérification</w:t>
      </w:r>
    </w:p>
    <w:p>
      <w:pPr>
        <w:spacing w:after="60"/>
      </w:pPr>
      <w:r>
        <w:rPr>
          <w:b/>
          <w:sz w:val="17"/>
        </w:rPr>
        <w:t>• Ministère de l’Agriculture - Plan de maîtrise sanitaire en restauration collective - guide petits établissements</w:t>
      </w:r>
    </w:p>
    <w:p>
      <w:pPr>
        <w:spacing w:after="40"/>
        <w:ind w:left="198"/>
      </w:pPr>
      <w:r>
        <w:rPr>
          <w:color w:val="465966"/>
          <w:sz w:val="14"/>
        </w:rPr>
        <w:t>Instruction DGAL/SDSSA/2021-753, en vigueur</w:t>
        <w:br/>
        <w:t>https://agriculture.gouv.fr/mise-en-place-dun-plan-de-maitrise-sanitaire-en-restauration-collective-un-guide-pour-les-petits</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AJ-ACM-042 - version 1.0 - vérifié le 28/08/2026 - animyjob.com/documents-acm/matrice-allergenes-repas-acm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