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réflexe événement grave ACM</w:t>
      </w:r>
    </w:p>
    <w:p>
      <w:pPr>
        <w:spacing w:after="160"/>
      </w:pPr>
      <w:r>
        <w:t>Fiche réflexe interne rappelant les actions immédiates et l’obligation de signalement lorsqu’un événement grave relève de R.227-11.</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document n’est pas le formulaire de déclaration d’événement grave demandé par le SDJES. Utiliser le formulaire du service compétent.</w:t>
            </w:r>
          </w:p>
        </w:tc>
      </w:tr>
    </w:tbl>
    <w:p/>
    <w:p>
      <w:pPr>
        <w:pStyle w:val="Heading1"/>
      </w:pPr>
      <w:r>
        <w:t>Utilisation</w:t>
      </w:r>
    </w:p>
    <w:p>
      <w:pPr>
        <w:spacing w:after="100"/>
      </w:pPr>
      <w:r>
        <w:t>À adapter au fonctionnement de l’accueil et aux consignes de l’organisateur.</w:t>
      </w:r>
    </w:p>
    <w:p>
      <w:pPr>
        <w:pStyle w:val="Heading1"/>
      </w:pPr>
      <w:r>
        <w:t>Immédiat</w:t>
      </w:r>
    </w:p>
    <w:p>
      <w:pPr>
        <w:spacing w:after="60"/>
      </w:pPr>
      <w:r>
        <w:rPr>
          <w:sz w:val="18"/>
        </w:rPr>
        <w:t>☐  Protéger les mineurs</w:t>
      </w:r>
    </w:p>
    <w:p>
      <w:pPr>
        <w:spacing w:after="60"/>
      </w:pPr>
      <w:r>
        <w:rPr>
          <w:sz w:val="18"/>
        </w:rPr>
        <w:t>☐  Appeler les secours / forces de l’ordre si nécessaire</w:t>
      </w:r>
    </w:p>
    <w:p>
      <w:pPr>
        <w:spacing w:after="60"/>
      </w:pPr>
      <w:r>
        <w:rPr>
          <w:sz w:val="18"/>
        </w:rPr>
        <w:t>☐  Préserver les éléments factuels utiles sans gêner les secours</w:t>
      </w:r>
    </w:p>
    <w:p>
      <w:pPr>
        <w:spacing w:after="60"/>
      </w:pPr>
      <w:r>
        <w:rPr>
          <w:sz w:val="18"/>
        </w:rPr>
        <w:t>☐  Prévenir l’organisateur</w:t>
      </w:r>
    </w:p>
    <w:p>
      <w:r>
        <w:t>Observations : ................................................................................................................................................</w:t>
      </w:r>
    </w:p>
    <w:p>
      <w:pPr>
        <w:pStyle w:val="Heading1"/>
      </w:pPr>
      <w:r>
        <w:t>Information</w:t>
      </w:r>
    </w:p>
    <w:p>
      <w:pPr>
        <w:spacing w:after="60"/>
      </w:pPr>
      <w:r>
        <w:rPr>
          <w:sz w:val="18"/>
        </w:rPr>
        <w:t>☐  Informer les représentants légaux du mineur concerné en cas d’accident ou maladie</w:t>
      </w:r>
    </w:p>
    <w:p>
      <w:pPr>
        <w:spacing w:after="60"/>
      </w:pPr>
      <w:r>
        <w:rPr>
          <w:sz w:val="18"/>
        </w:rPr>
        <w:t>☐  Informer sans délai le préfet / SDJES du lieu d’accueil si R.227-11 s’applique</w:t>
      </w:r>
    </w:p>
    <w:p>
      <w:pPr>
        <w:spacing w:after="60"/>
      </w:pPr>
      <w:r>
        <w:rPr>
          <w:sz w:val="18"/>
        </w:rPr>
        <w:t>☐  Utiliser la fiche organisateur demandée par le SDJES</w:t>
      </w:r>
    </w:p>
    <w:p>
      <w:r>
        <w:t>Observations : ................................................................................................................................................</w:t>
      </w:r>
    </w:p>
    <w:p>
      <w:pPr>
        <w:pStyle w:val="Heading1"/>
      </w:pPr>
      <w:r>
        <w:t>Trace</w:t>
      </w:r>
    </w:p>
    <w:p>
      <w:pPr>
        <w:spacing w:after="60"/>
      </w:pPr>
      <w:r>
        <w:rPr>
          <w:sz w:val="18"/>
        </w:rPr>
        <w:t>☐  Noter chronologie, témoins et actions</w:t>
      </w:r>
    </w:p>
    <w:p>
      <w:pPr>
        <w:spacing w:after="60"/>
      </w:pPr>
      <w:r>
        <w:rPr>
          <w:sz w:val="18"/>
        </w:rPr>
        <w:t>☐  Conserver les pièces utiles</w:t>
      </w:r>
    </w:p>
    <w:p>
      <w:pPr>
        <w:spacing w:after="60"/>
      </w:pPr>
      <w:r>
        <w:rPr>
          <w:sz w:val="18"/>
        </w:rPr>
        <w:t>☐  Prévoir un rapport complémentaire si demandé</w:t>
      </w:r>
    </w:p>
    <w:p>
      <w:r>
        <w:t>Observations : ................................................................................................................................................</w:t>
      </w:r>
    </w:p>
    <w:p>
      <w:pPr>
        <w:pStyle w:val="Heading1"/>
      </w:pPr>
      <w:r>
        <w:t>Communication</w:t>
      </w:r>
    </w:p>
    <w:p>
      <w:pPr>
        <w:spacing w:after="60"/>
      </w:pPr>
      <w:r>
        <w:rPr>
          <w:sz w:val="18"/>
        </w:rPr>
        <w:t>☐  Désigner un interlocuteur</w:t>
      </w:r>
    </w:p>
    <w:p>
      <w:pPr>
        <w:spacing w:after="60"/>
      </w:pPr>
      <w:r>
        <w:rPr>
          <w:sz w:val="18"/>
        </w:rPr>
        <w:t>☐  Éviter toute diffusion d’informations personnelles non nécessaire</w:t>
      </w:r>
    </w:p>
    <w:p>
      <w:pPr>
        <w:spacing w:after="60"/>
      </w:pPr>
      <w:r>
        <w:rPr>
          <w:sz w:val="18"/>
        </w:rPr>
        <w:t>☐  Respecter les consignes des autorités</w:t>
      </w:r>
    </w:p>
    <w:p>
      <w:r>
        <w:t>Observations : ................................................................................................................................................</w:t>
      </w:r>
    </w:p>
    <w:p>
      <w:pPr>
        <w:pStyle w:val="Heading1"/>
      </w:pPr>
      <w:r>
        <w:t>Points de vigilance</w:t>
      </w:r>
    </w:p>
    <w:p>
      <w:r>
        <w:t>Ce document n’est pas le formulaire de déclaration d’événement grave demandé par le SDJES. Utiliser le formulaire du service compétent.</w:t>
      </w:r>
    </w:p>
    <w:p>
      <w:pPr>
        <w:pStyle w:val="Heading1"/>
      </w:pPr>
      <w:r>
        <w:t>Sources de vérification</w:t>
      </w:r>
    </w:p>
    <w:p>
      <w:pPr>
        <w:spacing w:after="60"/>
      </w:pPr>
      <w:r>
        <w:rPr>
          <w:b/>
          <w:sz w:val="17"/>
        </w:rPr>
        <w:t>• Légifrance - Accident grave et situation présentant des risques graves</w:t>
      </w:r>
    </w:p>
    <w:p>
      <w:pPr>
        <w:spacing w:after="40"/>
        <w:ind w:left="198"/>
      </w:pPr>
      <w:r>
        <w:rPr>
          <w:color w:val="465966"/>
          <w:sz w:val="14"/>
        </w:rPr>
        <w:t>CASF R.227-11</w:t>
        <w:br/>
        <w:t>https://www.legifrance.gouv.fr/codes/article_lc/LEGIARTI000006905555/</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AJ-ACM-034 - version 1.0 - vérifié le 28/08/2026 - animyjob.com/documents-acm/fiche-reflexe-evenement-grave-acm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